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sz w:val="24"/>
          <w:szCs w:val="24"/>
          <w:lang w:val="en-US" w:eastAsia="zh-CN"/>
        </w:rPr>
      </w:pPr>
      <w:r>
        <w:rPr>
          <w:rFonts w:ascii="Arial" w:eastAsia="等线" w:hAnsi="Arial"/>
          <w:b/>
          <w:noProof/>
          <w:sz w:val="24"/>
          <w:szCs w:val="24"/>
        </w:rPr>
        <w:t>3GPP SA WG2#173</w:t>
      </w:r>
      <w:r>
        <w:rPr>
          <w:rFonts w:ascii="Arial" w:eastAsia="等线" w:hAnsi="Arial"/>
          <w:b/>
          <w:noProof/>
          <w:sz w:val="24"/>
          <w:szCs w:val="24"/>
        </w:rPr>
        <w:tab/>
        <w:t>S2-</w:t>
      </w:r>
      <w:r>
        <w:rPr>
          <w:rFonts w:ascii="Arial" w:eastAsia="等线" w:hAnsi="Arial"/>
          <w:b/>
          <w:noProof/>
          <w:sz w:val="24"/>
          <w:szCs w:val="24"/>
        </w:rPr>
        <w:t>260</w:t>
      </w:r>
      <w:r>
        <w:rPr>
          <w:rFonts w:ascii="Arial" w:eastAsia="等线" w:hAnsi="Arial"/>
          <w:b/>
          <w:noProof/>
          <w:sz w:val="24"/>
          <w:szCs w:val="24"/>
          <w:lang w:val="en-US"/>
        </w:rPr>
        <w:t>01</w:t>
      </w:r>
      <w:r>
        <w:rPr>
          <w:rFonts w:ascii="Arial" w:eastAsia="等线" w:hAnsi="Arial"/>
          <w:b/>
          <w:noProof/>
          <w:sz w:val="24"/>
          <w:szCs w:val="24"/>
          <w:lang w:val="en-US"/>
        </w:rPr>
        <w:t>66</w:t>
      </w:r>
    </w:p>
    <w:p>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sz w:val="24"/>
          <w:lang w:eastAsia="en-US"/>
        </w:rPr>
      </w:pPr>
      <w:r>
        <w:rPr>
          <w:rFonts w:ascii="Arial" w:eastAsia="等线" w:hAnsi="Arial" w:cs="Arial"/>
          <w:b/>
          <w:bCs/>
          <w:noProof/>
          <w:sz w:val="24"/>
          <w:lang w:eastAsia="en-US"/>
        </w:rPr>
        <w:t xml:space="preserve">Goa, </w:t>
      </w:r>
      <w:r>
        <w:rPr>
          <w:rFonts w:ascii="Arial" w:eastAsia="等线" w:hAnsi="Arial" w:cs="Arial"/>
          <w:b/>
          <w:bCs/>
          <w:noProof/>
          <w:sz w:val="24"/>
          <w:lang w:val="en-US" w:eastAsia="en-US"/>
        </w:rPr>
        <w:t xml:space="preserve">India, </w:t>
      </w:r>
      <w:r>
        <w:rPr>
          <w:rFonts w:ascii="Arial" w:eastAsia="等线" w:hAnsi="Arial" w:cs="Arial"/>
          <w:b/>
          <w:bCs/>
          <w:noProof/>
          <w:sz w:val="24"/>
          <w:lang w:eastAsia="en-US"/>
        </w:rPr>
        <w:t>9-13 February, 2026</w:t>
      </w:r>
      <w:r>
        <w:rPr>
          <w:rFonts w:ascii="Arial" w:eastAsia="Arial Unicode MS" w:hAnsi="Arial" w:cs="Arial"/>
          <w:b/>
          <w:bCs/>
          <w:noProof/>
          <w:sz w:val="18"/>
          <w:lang w:eastAsia="en-US"/>
        </w:rPr>
        <w:tab/>
        <w:t xml:space="preserve">(Revision of </w:t>
      </w:r>
      <w:r>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w:t>
      </w:r>
      <w:r>
        <w:rPr>
          <w:rFonts w:ascii="Arial" w:eastAsia="Arial Unicode MS" w:hAnsi="Arial" w:cs="Arial" w:hint="eastAsia"/>
          <w:b/>
          <w:bCs/>
          <w:noProof/>
          <w:sz w:val="18"/>
          <w:lang w:eastAsia="zh-CN"/>
        </w:rPr>
        <w:t>xxxx</w:t>
      </w:r>
      <w:r>
        <w:rPr>
          <w:rFonts w:ascii="Arial" w:eastAsia="Arial Unicode MS" w:hAnsi="Arial" w:cs="Arial"/>
          <w:b/>
          <w:bCs/>
          <w:noProof/>
          <w:sz w:val="18"/>
          <w:lang w:eastAsia="en-US"/>
        </w:rPr>
        <w:t>)</w:t>
      </w:r>
    </w:p>
    <w:p>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en-US" w:eastAsia="zh-CN"/>
          <w14:ligatures w14:val="standardContextual"/>
        </w:rPr>
      </w:pPr>
    </w:p>
    <w:p>
      <w:pPr>
        <w:widowControl w:val="0"/>
        <w:overflowPunct/>
        <w:autoSpaceDE/>
        <w:autoSpaceDN/>
        <w:adjustRightInd/>
        <w:spacing w:after="60" w:line="276" w:lineRule="auto"/>
        <w:ind w:left="1985" w:hanging="1985"/>
        <w:textAlignment w:val="auto"/>
        <w:rPr>
          <w:rFonts w:ascii="Arial" w:eastAsia="等线" w:hAnsi="Arial" w:cs="Arial"/>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Title:</w:t>
      </w:r>
      <w:r>
        <w:rPr>
          <w:rFonts w:ascii="Arial" w:eastAsia="等线" w:hAnsi="Arial" w:cs="Arial"/>
          <w:b/>
          <w:kern w:val="2"/>
          <w:sz w:val="22"/>
          <w:szCs w:val="22"/>
          <w:lang w:val="en-US" w:eastAsia="zh-CN"/>
          <w14:ligatures w14:val="standardContextual"/>
        </w:rPr>
        <w:tab/>
      </w:r>
      <w:r>
        <w:rPr>
          <w:rFonts w:ascii="Arial" w:eastAsia="等线" w:hAnsi="Arial" w:cs="Arial"/>
          <w:bCs/>
          <w:kern w:val="2"/>
          <w:sz w:val="22"/>
          <w:szCs w:val="22"/>
          <w:lang w:val="en-US" w:eastAsia="zh-CN"/>
          <w14:ligatures w14:val="standardContextual"/>
        </w:rPr>
        <w:t xml:space="preserve">LS on </w:t>
      </w:r>
      <w:r>
        <w:rPr>
          <w:rFonts w:ascii="Arial" w:eastAsia="等线" w:hAnsi="Arial" w:cs="Arial"/>
          <w:bCs/>
          <w:kern w:val="2"/>
          <w:sz w:val="22"/>
          <w:szCs w:val="22"/>
          <w:lang w:val="en-US" w:eastAsia="zh-CN"/>
          <w14:ligatures w14:val="standardContextual"/>
        </w:rPr>
        <w:t>support of mobility registration update</w:t>
      </w:r>
    </w:p>
    <w:p>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Response to:</w:t>
      </w:r>
      <w:r>
        <w:rPr>
          <w:rFonts w:ascii="Arial" w:eastAsia="等线" w:hAnsi="Arial" w:cs="Arial"/>
          <w:b/>
          <w:bCs/>
          <w:kern w:val="2"/>
          <w:sz w:val="22"/>
          <w:szCs w:val="22"/>
          <w:lang w:val="en-US" w:eastAsia="zh-CN"/>
          <w14:ligatures w14:val="standardContextual"/>
        </w:rPr>
        <w:tab/>
      </w:r>
    </w:p>
    <w:p>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Release:</w:t>
      </w:r>
      <w:r>
        <w:rPr>
          <w:rFonts w:ascii="Arial" w:eastAsia="等线" w:hAnsi="Arial" w:cs="Arial"/>
          <w:b/>
          <w:bCs/>
          <w:kern w:val="2"/>
          <w:sz w:val="22"/>
          <w:szCs w:val="22"/>
          <w:lang w:val="en-US" w:eastAsia="zh-CN"/>
          <w14:ligatures w14:val="standardContextual"/>
        </w:rPr>
        <w:tab/>
      </w:r>
      <w:r>
        <w:rPr>
          <w:rFonts w:ascii="Arial" w:eastAsia="等线" w:hAnsi="Arial" w:cs="Arial"/>
          <w:kern w:val="2"/>
          <w:sz w:val="22"/>
          <w:szCs w:val="22"/>
          <w:lang w:val="en-US" w:eastAsia="zh-CN"/>
          <w14:ligatures w14:val="standardContextual"/>
        </w:rPr>
        <w:t>Rel-20</w:t>
      </w:r>
    </w:p>
    <w:p>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Work Item:</w:t>
      </w:r>
      <w:r>
        <w:rPr>
          <w:rFonts w:ascii="Arial" w:eastAsia="等线" w:hAnsi="Arial" w:cs="Arial"/>
          <w:b/>
          <w:bCs/>
          <w:kern w:val="2"/>
          <w:sz w:val="22"/>
          <w:szCs w:val="22"/>
          <w:lang w:val="en-US" w:eastAsia="zh-CN"/>
          <w14:ligatures w14:val="standardContextual"/>
        </w:rPr>
        <w:tab/>
      </w:r>
      <w:r>
        <w:rPr>
          <w:rFonts w:ascii="Arial" w:eastAsia="等线" w:hAnsi="Arial" w:cs="Arial"/>
          <w:kern w:val="2"/>
          <w:sz w:val="22"/>
          <w:szCs w:val="22"/>
          <w:lang w:val="en-US" w:eastAsia="zh-CN"/>
          <w14:ligatures w14:val="standardContextual"/>
        </w:rPr>
        <w:t>FS_AmbientIoT_Ph2_ARC</w:t>
      </w:r>
    </w:p>
    <w:p>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en-US" w:eastAsia="zh-CN"/>
          <w14:ligatures w14:val="standardContextual"/>
        </w:rPr>
      </w:pPr>
    </w:p>
    <w:p>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Pr>
          <w:rFonts w:ascii="Arial" w:eastAsia="等线" w:hAnsi="Arial" w:cs="Arial"/>
          <w:b/>
          <w:kern w:val="2"/>
          <w:sz w:val="22"/>
          <w:szCs w:val="22"/>
          <w:lang w:val="fr-FR" w:eastAsia="zh-CN"/>
          <w14:ligatures w14:val="standardContextual"/>
        </w:rPr>
        <w:t>Source:</w:t>
      </w:r>
      <w:r>
        <w:rPr>
          <w:rFonts w:ascii="Arial" w:eastAsia="等线" w:hAnsi="Arial" w:cs="Arial"/>
          <w:b/>
          <w:kern w:val="2"/>
          <w:sz w:val="22"/>
          <w:szCs w:val="22"/>
          <w:lang w:val="fr-FR" w:eastAsia="zh-CN"/>
          <w14:ligatures w14:val="standardContextual"/>
        </w:rPr>
        <w:tab/>
      </w:r>
      <w:r>
        <w:rPr>
          <w:rFonts w:ascii="Arial" w:eastAsia="等线" w:hAnsi="Arial" w:cs="Arial"/>
          <w:kern w:val="2"/>
          <w:sz w:val="22"/>
          <w:szCs w:val="22"/>
          <w:lang w:val="fr-FR" w:eastAsia="zh-CN"/>
          <w14:ligatures w14:val="standardContextual"/>
        </w:rPr>
        <w:t xml:space="preserve">SA2 </w:t>
      </w:r>
    </w:p>
    <w:p>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fr-FR" w:eastAsia="zh-CN"/>
          <w14:ligatures w14:val="standardContextual"/>
        </w:rPr>
      </w:pPr>
      <w:r>
        <w:rPr>
          <w:rFonts w:ascii="Arial" w:eastAsia="等线" w:hAnsi="Arial" w:cs="Arial"/>
          <w:b/>
          <w:kern w:val="2"/>
          <w:sz w:val="22"/>
          <w:szCs w:val="22"/>
          <w:lang w:val="fr-FR" w:eastAsia="zh-CN"/>
          <w14:ligatures w14:val="standardContextual"/>
        </w:rPr>
        <w:t>To:</w:t>
      </w:r>
      <w:r>
        <w:rPr>
          <w:rFonts w:ascii="Arial" w:eastAsia="等线" w:hAnsi="Arial" w:cs="Arial"/>
          <w:b/>
          <w:bCs/>
          <w:kern w:val="2"/>
          <w:sz w:val="22"/>
          <w:szCs w:val="22"/>
          <w:lang w:val="fr-FR" w:eastAsia="zh-CN"/>
          <w14:ligatures w14:val="standardContextual"/>
        </w:rPr>
        <w:tab/>
      </w:r>
      <w:r>
        <w:rPr>
          <w:rFonts w:ascii="Arial" w:eastAsia="等线" w:hAnsi="Arial" w:cs="Arial"/>
          <w:kern w:val="2"/>
          <w:sz w:val="22"/>
          <w:szCs w:val="22"/>
          <w:lang w:val="fr-FR" w:eastAsia="zh-CN"/>
          <w14:ligatures w14:val="standardContextual"/>
        </w:rPr>
        <w:t>RAN2</w:t>
      </w:r>
    </w:p>
    <w:p>
      <w:pPr>
        <w:widowControl w:val="0"/>
        <w:overflowPunct/>
        <w:autoSpaceDE/>
        <w:autoSpaceDN/>
        <w:adjustRightInd/>
        <w:spacing w:after="60" w:line="276" w:lineRule="auto"/>
        <w:ind w:left="1985" w:hanging="1985"/>
        <w:textAlignment w:val="auto"/>
        <w:rPr>
          <w:rFonts w:ascii="Arial" w:eastAsia="等线" w:hAnsi="Arial" w:cs="Arial" w:hint="eastAsia"/>
          <w:b/>
          <w:bCs/>
          <w:kern w:val="2"/>
          <w:sz w:val="22"/>
          <w:szCs w:val="22"/>
          <w:lang w:val="fr-FR" w:eastAsia="zh-CN"/>
          <w14:ligatures w14:val="standardContextual"/>
        </w:rPr>
      </w:pPr>
      <w:r>
        <w:rPr>
          <w:rFonts w:ascii="Arial" w:eastAsia="等线" w:hAnsi="Arial" w:cs="Arial"/>
          <w:b/>
          <w:kern w:val="2"/>
          <w:sz w:val="22"/>
          <w:szCs w:val="22"/>
          <w:lang w:val="fr-FR" w:eastAsia="zh-CN"/>
          <w14:ligatures w14:val="standardContextual"/>
        </w:rPr>
        <w:t>Cc:</w:t>
      </w:r>
      <w:r>
        <w:rPr>
          <w:rFonts w:ascii="Arial" w:eastAsia="等线" w:hAnsi="Arial" w:cs="Arial"/>
          <w:b/>
          <w:bCs/>
          <w:kern w:val="2"/>
          <w:sz w:val="22"/>
          <w:szCs w:val="22"/>
          <w:lang w:val="fr-FR" w:eastAsia="zh-CN"/>
          <w14:ligatures w14:val="standardContextual"/>
        </w:rPr>
        <w:tab/>
      </w:r>
    </w:p>
    <w:p>
      <w:pPr>
        <w:widowControl w:val="0"/>
        <w:tabs>
          <w:tab w:val="left" w:pos="1701"/>
          <w:tab w:val="right" w:pos="9639"/>
        </w:tabs>
        <w:overflowPunct/>
        <w:autoSpaceDE/>
        <w:autoSpaceDN/>
        <w:adjustRightInd/>
        <w:spacing w:after="120"/>
        <w:jc w:val="both"/>
        <w:textAlignment w:val="auto"/>
        <w:rPr>
          <w:rFonts w:ascii="Arial" w:eastAsia="MS Mincho" w:hAnsi="Arial"/>
          <w:b/>
          <w:kern w:val="2"/>
          <w:sz w:val="22"/>
          <w:szCs w:val="22"/>
          <w:lang w:val="en-US" w:eastAsia="zh-CN"/>
        </w:rPr>
      </w:pPr>
    </w:p>
    <w:p>
      <w:pPr>
        <w:widowControl w:val="0"/>
        <w:overflowPunct/>
        <w:autoSpaceDE/>
        <w:autoSpaceDN/>
        <w:adjustRightInd/>
        <w:spacing w:after="60" w:line="276" w:lineRule="auto"/>
        <w:ind w:left="1985" w:hanging="1985"/>
        <w:textAlignment w:val="auto"/>
        <w:rPr>
          <w:rFonts w:ascii="Arial" w:eastAsia="等线" w:hAnsi="Arial" w:cs="Arial"/>
          <w:b/>
          <w:bCs/>
          <w:kern w:val="2"/>
          <w:sz w:val="22"/>
          <w:szCs w:val="22"/>
          <w:lang w:val="en-US" w:eastAsia="zh-CN"/>
          <w14:ligatures w14:val="standardContextual"/>
        </w:rPr>
      </w:pPr>
      <w:r>
        <w:rPr>
          <w:rFonts w:ascii="Arial" w:eastAsia="等线" w:hAnsi="Arial" w:cs="Arial"/>
          <w:b/>
          <w:kern w:val="2"/>
          <w:sz w:val="22"/>
          <w:szCs w:val="22"/>
          <w:lang w:val="fr-FR" w:eastAsia="zh-CN"/>
          <w14:ligatures w14:val="standardContextual"/>
        </w:rPr>
        <w:t>Contact person:</w:t>
      </w:r>
      <w:r>
        <w:rPr>
          <w:rFonts w:ascii="Arial" w:eastAsia="等线" w:hAnsi="Arial" w:cs="Arial"/>
          <w:b/>
          <w:bCs/>
          <w:kern w:val="2"/>
          <w:sz w:val="22"/>
          <w:szCs w:val="22"/>
          <w:lang w:val="fr-FR" w:eastAsia="zh-CN"/>
          <w14:ligatures w14:val="standardContextual"/>
        </w:rPr>
        <w:tab/>
      </w:r>
      <w:r>
        <w:rPr>
          <w:rFonts w:ascii="Arial" w:eastAsia="等线" w:hAnsi="Arial" w:cs="Arial"/>
          <w:kern w:val="2"/>
          <w:sz w:val="22"/>
          <w:szCs w:val="22"/>
          <w:lang w:val="en-US" w:eastAsia="zh-CN"/>
          <w14:ligatures w14:val="standardContextual"/>
        </w:rPr>
        <w:t>Fei Lu</w:t>
      </w:r>
    </w:p>
    <w:p>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r>
        <w:rPr>
          <w:rFonts w:ascii="Arial" w:eastAsia="等线" w:hAnsi="Arial" w:cs="Arial"/>
          <w:kern w:val="2"/>
          <w:sz w:val="22"/>
          <w:szCs w:val="22"/>
          <w:lang w:val="fr-FR" w:eastAsia="zh-CN"/>
          <w14:ligatures w14:val="standardContextual"/>
        </w:rPr>
        <w:tab/>
        <w:t>lufei2 at OPPO.com</w:t>
      </w:r>
    </w:p>
    <w:p>
      <w:pPr>
        <w:widowControl w:val="0"/>
        <w:overflowPunct/>
        <w:autoSpaceDE/>
        <w:autoSpaceDN/>
        <w:adjustRightInd/>
        <w:spacing w:after="60" w:line="276" w:lineRule="auto"/>
        <w:ind w:left="1985" w:hanging="1985"/>
        <w:textAlignment w:val="auto"/>
        <w:rPr>
          <w:rFonts w:ascii="Arial" w:eastAsia="等线" w:hAnsi="Arial" w:cs="Arial"/>
          <w:kern w:val="2"/>
          <w:sz w:val="22"/>
          <w:szCs w:val="22"/>
          <w:lang w:val="fr-FR" w:eastAsia="zh-CN"/>
          <w14:ligatures w14:val="standardContextual"/>
        </w:rPr>
      </w:pPr>
    </w:p>
    <w:p>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fr-FR" w:eastAsia="zh-CN"/>
          <w14:ligatures w14:val="standardContextual"/>
        </w:rPr>
      </w:pPr>
    </w:p>
    <w:p>
      <w:pPr>
        <w:widowControl w:val="0"/>
        <w:overflowPunct/>
        <w:autoSpaceDE/>
        <w:autoSpaceDN/>
        <w:adjustRightInd/>
        <w:spacing w:after="60" w:line="276" w:lineRule="auto"/>
        <w:ind w:left="1985" w:hanging="1985"/>
        <w:textAlignment w:val="auto"/>
        <w:rPr>
          <w:rFonts w:ascii="Arial" w:eastAsia="等线" w:hAnsi="Arial" w:cs="Arial"/>
          <w:b/>
          <w:kern w:val="2"/>
          <w:sz w:val="22"/>
          <w:szCs w:val="22"/>
          <w:lang w:val="en-US" w:eastAsia="zh-CN"/>
          <w14:ligatures w14:val="standardContextual"/>
        </w:rPr>
      </w:pPr>
      <w:r>
        <w:rPr>
          <w:rFonts w:ascii="Arial" w:eastAsia="等线" w:hAnsi="Arial" w:cs="Arial"/>
          <w:b/>
          <w:kern w:val="2"/>
          <w:sz w:val="22"/>
          <w:szCs w:val="22"/>
          <w:lang w:val="en-US" w:eastAsia="zh-CN"/>
          <w14:ligatures w14:val="standardContextual"/>
        </w:rPr>
        <w:t>Send any reply LS to:</w:t>
      </w:r>
      <w:r>
        <w:rPr>
          <w:rFonts w:ascii="Arial" w:eastAsia="等线" w:hAnsi="Arial" w:cs="Arial"/>
          <w:b/>
          <w:kern w:val="2"/>
          <w:sz w:val="22"/>
          <w:szCs w:val="22"/>
          <w:lang w:val="en-US" w:eastAsia="zh-CN"/>
          <w14:ligatures w14:val="standardContextual"/>
        </w:rPr>
        <w:tab/>
        <w:t xml:space="preserve">3GPP Liaisons Coordinator, </w:t>
      </w:r>
      <w:hyperlink r:id="rId9" w:history="1">
        <w:r>
          <w:rPr>
            <w:rFonts w:ascii="Calibri" w:eastAsia="等线" w:hAnsi="Calibri" w:cs="Arial"/>
            <w:b/>
            <w:color w:val="0000FF"/>
            <w:kern w:val="2"/>
            <w:sz w:val="22"/>
            <w:szCs w:val="22"/>
            <w:u w:val="single"/>
            <w:lang w:val="en-US" w:eastAsia="zh-CN"/>
            <w14:ligatures w14:val="standardContextual"/>
          </w:rPr>
          <w:t>mailto:3GPPLiaison@etsi.org</w:t>
        </w:r>
      </w:hyperlink>
    </w:p>
    <w:p>
      <w:pPr>
        <w:widowControl w:val="0"/>
        <w:overflowPunct/>
        <w:autoSpaceDE/>
        <w:autoSpaceDN/>
        <w:adjustRightInd/>
        <w:spacing w:after="60" w:line="276" w:lineRule="auto"/>
        <w:ind w:left="1985" w:hanging="1985"/>
        <w:textAlignment w:val="auto"/>
        <w:rPr>
          <w:rFonts w:ascii="Arial" w:eastAsia="等线" w:hAnsi="Arial" w:cs="Arial"/>
          <w:b/>
          <w:kern w:val="2"/>
          <w:sz w:val="22"/>
          <w:szCs w:val="24"/>
          <w:lang w:val="en-US" w:eastAsia="zh-CN"/>
          <w14:ligatures w14:val="standardContextual"/>
        </w:rPr>
      </w:pPr>
    </w:p>
    <w:p>
      <w:pPr>
        <w:widowControl w:val="0"/>
        <w:overflowPunct/>
        <w:autoSpaceDE/>
        <w:autoSpaceDN/>
        <w:adjustRightInd/>
        <w:spacing w:after="60" w:line="276" w:lineRule="auto"/>
        <w:ind w:left="1985" w:hanging="1985"/>
        <w:textAlignment w:val="auto"/>
        <w:rPr>
          <w:rFonts w:ascii="Arial" w:eastAsia="等线" w:hAnsi="Arial" w:cs="Arial"/>
          <w:bCs/>
          <w:kern w:val="2"/>
          <w:sz w:val="22"/>
          <w:szCs w:val="24"/>
          <w:lang w:val="en-US" w:eastAsia="zh-CN"/>
          <w14:ligatures w14:val="standardContextual"/>
        </w:rPr>
      </w:pPr>
      <w:r>
        <w:rPr>
          <w:rFonts w:ascii="Arial" w:eastAsia="等线" w:hAnsi="Arial" w:cs="Arial"/>
          <w:b/>
          <w:kern w:val="2"/>
          <w:sz w:val="22"/>
          <w:szCs w:val="24"/>
          <w:lang w:val="en-US" w:eastAsia="zh-CN"/>
          <w14:ligatures w14:val="standardContextual"/>
        </w:rPr>
        <w:t>Attachments:</w:t>
      </w:r>
      <w:r>
        <w:rPr>
          <w:rFonts w:ascii="Arial" w:eastAsia="等线" w:hAnsi="Arial" w:cs="Arial"/>
          <w:bCs/>
          <w:kern w:val="2"/>
          <w:sz w:val="22"/>
          <w:szCs w:val="24"/>
          <w:lang w:val="en-US" w:eastAsia="zh-CN"/>
          <w14:ligatures w14:val="standardContextual"/>
        </w:rPr>
        <w:tab/>
      </w:r>
    </w:p>
    <w:p>
      <w:pPr>
        <w:widowControl w:val="0"/>
        <w:overflowPunct/>
        <w:autoSpaceDE/>
        <w:autoSpaceDN/>
        <w:adjustRightInd/>
        <w:spacing w:after="160" w:line="276" w:lineRule="auto"/>
        <w:textAlignment w:val="auto"/>
        <w:rPr>
          <w:rFonts w:ascii="Arial" w:eastAsia="等线" w:hAnsi="Arial" w:cs="Arial"/>
          <w:kern w:val="2"/>
          <w:sz w:val="22"/>
          <w:szCs w:val="24"/>
          <w:lang w:val="en-US" w:eastAsia="zh-CN"/>
          <w14:ligatures w14:val="standardContextual"/>
        </w:rPr>
      </w:pPr>
    </w:p>
    <w:p>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1</w:t>
      </w:r>
      <w:r>
        <w:rPr>
          <w:rFonts w:ascii="Arial" w:eastAsia="宋体" w:hAnsi="Arial"/>
          <w:sz w:val="36"/>
          <w:szCs w:val="36"/>
          <w:lang w:eastAsia="en-GB"/>
        </w:rPr>
        <w:tab/>
        <w:t>Overall description</w:t>
      </w:r>
    </w:p>
    <w:p>
      <w:pPr>
        <w:widowControl w:val="0"/>
        <w:overflowPunct/>
        <w:autoSpaceDE/>
        <w:autoSpaceDN/>
        <w:adjustRightInd/>
        <w:ind w:leftChars="42" w:left="84"/>
        <w:textAlignment w:val="auto"/>
        <w:rPr>
          <w:rFonts w:ascii="Arial" w:eastAsia="等线" w:hAnsi="Arial" w:cs="Arial"/>
          <w:kern w:val="2"/>
          <w:lang w:val="en-US" w:eastAsia="zh-CN"/>
          <w14:ligatures w14:val="standardContextual"/>
        </w:rPr>
      </w:pPr>
      <w:bookmarkStart w:id="0" w:name="OLE_LINK3"/>
      <w:bookmarkStart w:id="1" w:name="OLE_LINK4"/>
      <w:r>
        <w:rPr>
          <w:rFonts w:ascii="Arial" w:eastAsia="等线" w:hAnsi="Arial" w:cs="Arial"/>
          <w:kern w:val="2"/>
          <w:lang w:val="en-US" w:eastAsia="zh-CN"/>
          <w14:ligatures w14:val="standardContextual"/>
        </w:rPr>
        <w:t xml:space="preserve">SA2 has agreed to support the mobility registration update procedure for active DO-A Devices. To support the mobility registration update procedure, a registration area which is </w:t>
      </w:r>
      <w:r>
        <w:rPr>
          <w:rFonts w:ascii="Arial" w:eastAsia="等线" w:hAnsi="Arial" w:cs="Arial"/>
          <w:kern w:val="2"/>
          <w:lang w:val="en-US" w:eastAsia="zh-CN"/>
          <w14:ligatures w14:val="standardContextual"/>
        </w:rPr>
        <w:t>the set of tracking areas in TAI List</w:t>
      </w:r>
      <w:r>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is</w:t>
      </w:r>
      <w:r>
        <w:rPr>
          <w:rFonts w:ascii="Arial" w:eastAsia="等线" w:hAnsi="Arial" w:cs="Arial"/>
          <w:kern w:val="2"/>
          <w:lang w:val="en-US" w:eastAsia="zh-CN"/>
          <w14:ligatures w14:val="standardContextual"/>
        </w:rPr>
        <w:t xml:space="preserve"> allocated to the AIoT Device. And if the</w:t>
      </w:r>
      <w:r>
        <w:rPr>
          <w:rFonts w:ascii="Arial" w:eastAsia="等线" w:hAnsi="Arial" w:cs="Arial" w:hint="eastAsia"/>
          <w:kern w:val="2"/>
          <w:lang w:val="en-US" w:eastAsia="zh-CN"/>
          <w14:ligatures w14:val="standardContextual"/>
        </w:rPr>
        <w:t xml:space="preserve"> </w:t>
      </w:r>
      <w:r>
        <w:rPr>
          <w:rFonts w:ascii="Arial" w:eastAsia="等线" w:hAnsi="Arial" w:cs="Arial"/>
          <w:kern w:val="2"/>
          <w:lang w:val="en-US" w:eastAsia="zh-CN"/>
          <w14:ligatures w14:val="standardContextual"/>
        </w:rPr>
        <w:t>AIoT Device moves out of the AIoT registration area, the AIoT Device performs the mobility registration procedure</w:t>
      </w:r>
      <w:r>
        <w:rPr>
          <w:rFonts w:ascii="Arial" w:eastAsia="等线" w:hAnsi="Arial" w:cs="Arial"/>
          <w:kern w:val="2"/>
          <w:lang w:val="en-US" w:eastAsia="zh-CN"/>
          <w14:ligatures w14:val="standardContextual"/>
        </w:rPr>
        <w:t>. SA2 understands that the AIoT Device requires to be aware of the TAC of the current cell to determine whether it has moves out of the AIoT registration area or not. SA2 asks the following questions to RAN2:</w:t>
      </w:r>
    </w:p>
    <w:p>
      <w:pPr>
        <w:widowControl w:val="0"/>
        <w:overflowPunct/>
        <w:autoSpaceDE/>
        <w:autoSpaceDN/>
        <w:adjustRightInd/>
        <w:ind w:leftChars="142" w:left="284"/>
        <w:textAlignment w:val="auto"/>
        <w:rPr>
          <w:rFonts w:ascii="Arial" w:eastAsia="等线" w:hAnsi="Arial" w:cs="Arial" w:hint="eastAsia"/>
          <w:kern w:val="2"/>
          <w:lang w:val="en-US" w:eastAsia="zh-CN"/>
          <w14:ligatures w14:val="standardContextual"/>
        </w:rPr>
      </w:pPr>
      <w:r>
        <w:rPr>
          <w:rFonts w:ascii="Arial" w:eastAsia="等线" w:hAnsi="Arial" w:cs="Arial"/>
          <w:kern w:val="2"/>
          <w:lang w:val="en-US" w:eastAsia="zh-CN"/>
          <w14:ligatures w14:val="standardContextual"/>
        </w:rPr>
        <w:t>Question:</w:t>
      </w:r>
      <w:r>
        <w:rPr>
          <w:rFonts w:ascii="Arial" w:eastAsia="等线" w:hAnsi="Arial" w:cs="Arial"/>
          <w:kern w:val="2"/>
          <w:lang w:val="en-US" w:eastAsia="zh-CN"/>
          <w14:ligatures w14:val="standardContextual"/>
        </w:rPr>
        <w:t xml:space="preserve"> </w:t>
      </w:r>
      <w:r>
        <w:rPr>
          <w:rFonts w:ascii="Arial" w:eastAsia="等线" w:hAnsi="Arial" w:cs="Arial"/>
          <w:kern w:val="2"/>
          <w:lang w:val="en-US" w:eastAsia="zh-CN"/>
          <w14:ligatures w14:val="standardContextual"/>
        </w:rPr>
        <w:t xml:space="preserve">Is it </w:t>
      </w:r>
      <w:r>
        <w:rPr>
          <w:rFonts w:ascii="Arial" w:eastAsia="等线" w:hAnsi="Arial" w:cs="Arial"/>
          <w:kern w:val="2"/>
          <w:lang w:val="en-US" w:eastAsia="zh-CN"/>
          <w14:ligatures w14:val="standardContextual"/>
        </w:rPr>
        <w:t>feasible to broadcast the TAC to support the mobility registration update procedure</w:t>
      </w:r>
      <w:r>
        <w:rPr>
          <w:rFonts w:ascii="Arial" w:eastAsia="等线" w:hAnsi="Arial" w:cs="Arial"/>
          <w:kern w:val="2"/>
          <w:lang w:val="en-US" w:eastAsia="zh-CN"/>
          <w14:ligatures w14:val="standardContextual"/>
        </w:rPr>
        <w:t>?</w:t>
      </w:r>
    </w:p>
    <w:p>
      <w:pPr>
        <w:widowControl w:val="0"/>
        <w:overflowPunct/>
        <w:autoSpaceDE/>
        <w:autoSpaceDN/>
        <w:adjustRightInd/>
        <w:ind w:left="284"/>
        <w:textAlignment w:val="auto"/>
        <w:rPr>
          <w:rFonts w:ascii="Arial" w:eastAsia="等线" w:hAnsi="Arial" w:cs="Arial"/>
          <w:i/>
          <w:iCs/>
          <w:kern w:val="2"/>
          <w:lang w:val="en-US" w:eastAsia="zh-CN"/>
          <w14:ligatures w14:val="standardContextual"/>
        </w:rPr>
      </w:pPr>
    </w:p>
    <w:p>
      <w:pPr>
        <w:widowControl w:val="0"/>
        <w:overflowPunct/>
        <w:autoSpaceDE/>
        <w:autoSpaceDN/>
        <w:adjustRightInd/>
        <w:ind w:left="284"/>
        <w:textAlignment w:val="auto"/>
        <w:rPr>
          <w:rFonts w:ascii="Arial" w:eastAsia="等线" w:hAnsi="Arial" w:cs="Arial"/>
          <w:i/>
          <w:iCs/>
          <w:kern w:val="2"/>
          <w:lang w:val="en-US" w:eastAsia="zh-CN"/>
          <w14:ligatures w14:val="standardContextual"/>
        </w:rPr>
      </w:pPr>
    </w:p>
    <w:bookmarkEnd w:id="0"/>
    <w:bookmarkEnd w:id="1"/>
    <w:p>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2</w:t>
      </w:r>
      <w:r>
        <w:rPr>
          <w:rFonts w:ascii="Arial" w:eastAsia="宋体" w:hAnsi="Arial"/>
          <w:sz w:val="36"/>
          <w:szCs w:val="36"/>
          <w:lang w:eastAsia="en-GB"/>
        </w:rPr>
        <w:tab/>
        <w:t>Actions</w:t>
      </w:r>
    </w:p>
    <w:p>
      <w:pPr>
        <w:widowControl w:val="0"/>
        <w:overflowPunct/>
        <w:autoSpaceDE/>
        <w:autoSpaceDN/>
        <w:adjustRightInd/>
        <w:spacing w:after="160" w:line="276" w:lineRule="auto"/>
        <w:ind w:left="1985" w:hanging="1985"/>
        <w:textAlignment w:val="auto"/>
        <w:rPr>
          <w:rFonts w:ascii="Arial" w:eastAsia="等线" w:hAnsi="Arial" w:cs="Arial"/>
          <w:b/>
          <w:kern w:val="2"/>
          <w:lang w:val="en-US" w:eastAsia="zh-CN"/>
          <w14:ligatures w14:val="standardContextual"/>
        </w:rPr>
      </w:pPr>
      <w:r>
        <w:rPr>
          <w:rFonts w:ascii="Arial" w:eastAsia="等线" w:hAnsi="Arial" w:cs="Arial" w:hint="eastAsia"/>
          <w:b/>
          <w:kern w:val="2"/>
          <w:lang w:val="en-US" w:eastAsia="zh-CN"/>
          <w14:ligatures w14:val="standardContextual"/>
        </w:rPr>
        <w:t xml:space="preserve">To </w:t>
      </w:r>
      <w:r>
        <w:rPr>
          <w:rFonts w:ascii="Arial" w:eastAsia="等线" w:hAnsi="Arial" w:cs="Arial"/>
          <w:b/>
          <w:kern w:val="2"/>
          <w:lang w:val="en-US" w:eastAsia="zh-CN"/>
          <w14:ligatures w14:val="standardContextual"/>
        </w:rPr>
        <w:t>SA2</w:t>
      </w:r>
    </w:p>
    <w:p>
      <w:pPr>
        <w:widowControl w:val="0"/>
        <w:overflowPunct/>
        <w:autoSpaceDE/>
        <w:autoSpaceDN/>
        <w:adjustRightInd/>
        <w:spacing w:after="160" w:line="276" w:lineRule="auto"/>
        <w:ind w:left="900" w:hangingChars="450" w:hanging="900"/>
        <w:textAlignment w:val="auto"/>
        <w:rPr>
          <w:rFonts w:ascii="Arial" w:eastAsia="等线" w:hAnsi="Arial" w:cs="Arial"/>
          <w:kern w:val="2"/>
          <w:lang w:val="en-US" w:eastAsia="zh-CN"/>
          <w14:ligatures w14:val="standardContextual"/>
        </w:rPr>
      </w:pPr>
      <w:r>
        <w:rPr>
          <w:rFonts w:ascii="Arial" w:eastAsia="等线" w:hAnsi="Arial" w:cs="Arial" w:hint="eastAsia"/>
          <w:b/>
          <w:kern w:val="2"/>
          <w:lang w:val="en-US" w:eastAsia="zh-CN"/>
          <w14:ligatures w14:val="standardContextual"/>
        </w:rPr>
        <w:t>ACTION:</w:t>
      </w:r>
      <w:r>
        <w:rPr>
          <w:rFonts w:ascii="Arial" w:eastAsia="等线" w:hAnsi="Arial" w:cs="Arial"/>
          <w:kern w:val="2"/>
          <w:lang w:val="en-US" w:eastAsia="zh-CN"/>
          <w14:ligatures w14:val="standardContextual"/>
        </w:rPr>
        <w:t xml:space="preserve"> SA2 kindly asks RAN2 to provide the feedback whether it is feasible to broadcast the TAC to support the mobility registration update procedure.</w:t>
      </w:r>
    </w:p>
    <w:p>
      <w:pPr>
        <w:widowControl w:val="0"/>
        <w:overflowPunct/>
        <w:autoSpaceDE/>
        <w:autoSpaceDN/>
        <w:adjustRightInd/>
        <w:spacing w:after="160" w:line="276" w:lineRule="auto"/>
        <w:ind w:left="1985" w:hanging="1985"/>
        <w:textAlignment w:val="auto"/>
        <w:rPr>
          <w:rFonts w:ascii="Arial" w:eastAsia="等线" w:hAnsi="Arial" w:cs="Arial"/>
          <w:kern w:val="2"/>
          <w:lang w:val="en-US" w:eastAsia="zh-CN"/>
          <w14:ligatures w14:val="standardContextual"/>
        </w:rPr>
      </w:pPr>
    </w:p>
    <w:p>
      <w:pPr>
        <w:keepNext/>
        <w:keepLines/>
        <w:pBdr>
          <w:top w:val="single" w:sz="12" w:space="3" w:color="auto"/>
        </w:pBdr>
        <w:spacing w:before="240"/>
        <w:ind w:left="1134" w:hanging="1134"/>
        <w:textAlignment w:val="auto"/>
        <w:outlineLvl w:val="0"/>
        <w:rPr>
          <w:rFonts w:ascii="Arial" w:eastAsia="宋体" w:hAnsi="Arial"/>
          <w:sz w:val="36"/>
          <w:szCs w:val="36"/>
          <w:lang w:eastAsia="en-GB"/>
        </w:rPr>
      </w:pPr>
      <w:r>
        <w:rPr>
          <w:rFonts w:ascii="Arial" w:eastAsia="宋体" w:hAnsi="Arial"/>
          <w:sz w:val="36"/>
          <w:szCs w:val="36"/>
          <w:lang w:eastAsia="en-GB"/>
        </w:rPr>
        <w:t>3</w:t>
      </w:r>
      <w:r>
        <w:rPr>
          <w:rFonts w:ascii="Arial" w:eastAsia="宋体" w:hAnsi="Arial"/>
          <w:sz w:val="36"/>
          <w:szCs w:val="36"/>
          <w:lang w:eastAsia="en-GB"/>
        </w:rPr>
        <w:tab/>
        <w:t xml:space="preserve">Dates of next </w:t>
      </w:r>
      <w:r>
        <w:rPr>
          <w:rFonts w:ascii="Arial" w:eastAsia="宋体" w:hAnsi="Arial" w:cs="Arial"/>
          <w:bCs/>
          <w:sz w:val="36"/>
          <w:szCs w:val="36"/>
          <w:lang w:eastAsia="en-GB"/>
        </w:rPr>
        <w:t xml:space="preserve">TSG </w:t>
      </w:r>
      <w:r>
        <w:rPr>
          <w:rFonts w:ascii="Arial" w:eastAsia="宋体" w:hAnsi="Arial" w:cs="Arial" w:hint="eastAsia"/>
          <w:sz w:val="36"/>
          <w:szCs w:val="36"/>
          <w:lang w:eastAsia="zh-CN"/>
        </w:rPr>
        <w:t>SA</w:t>
      </w:r>
      <w:r>
        <w:rPr>
          <w:rFonts w:ascii="Arial" w:eastAsia="宋体" w:hAnsi="Arial" w:cs="Arial"/>
          <w:bCs/>
          <w:sz w:val="36"/>
          <w:szCs w:val="36"/>
          <w:lang w:eastAsia="en-GB"/>
        </w:rPr>
        <w:t xml:space="preserve"> WG</w:t>
      </w:r>
      <w:r>
        <w:rPr>
          <w:rFonts w:ascii="Arial" w:eastAsia="宋体" w:hAnsi="Arial" w:cs="Arial"/>
          <w:bCs/>
          <w:sz w:val="36"/>
          <w:szCs w:val="36"/>
          <w:lang w:val="en-US" w:eastAsia="zh-CN"/>
        </w:rPr>
        <w:t>2</w:t>
      </w:r>
      <w:r>
        <w:rPr>
          <w:rFonts w:ascii="Arial" w:eastAsia="宋体" w:hAnsi="Arial" w:cs="Arial"/>
          <w:bCs/>
          <w:sz w:val="36"/>
          <w:szCs w:val="36"/>
          <w:lang w:eastAsia="en-GB"/>
        </w:rPr>
        <w:t xml:space="preserve"> </w:t>
      </w:r>
      <w:r>
        <w:rPr>
          <w:rFonts w:ascii="Arial" w:eastAsia="宋体" w:hAnsi="Arial"/>
          <w:sz w:val="36"/>
          <w:szCs w:val="36"/>
          <w:lang w:eastAsia="en-GB"/>
        </w:rPr>
        <w:t>meetings</w:t>
      </w:r>
    </w:p>
    <w:p>
      <w:pPr>
        <w:tabs>
          <w:tab w:val="left" w:pos="3544"/>
          <w:tab w:val="left" w:pos="7230"/>
        </w:tabs>
        <w:ind w:left="2268" w:hanging="2268"/>
        <w:textAlignment w:val="auto"/>
        <w:rPr>
          <w:rFonts w:ascii="Arial" w:hAnsi="Arial" w:cs="Arial"/>
          <w:lang w:eastAsia="zh-CN"/>
        </w:rPr>
      </w:pPr>
      <w:r>
        <w:rPr>
          <w:rFonts w:ascii="Arial" w:hAnsi="Arial" w:cs="Arial"/>
          <w:lang w:eastAsia="zh-CN"/>
        </w:rPr>
        <w:t>SA2#174</w:t>
      </w:r>
      <w:r>
        <w:rPr>
          <w:rFonts w:ascii="Arial" w:hAnsi="Arial" w:cs="Arial"/>
          <w:lang w:eastAsia="zh-CN"/>
        </w:rPr>
        <w:tab/>
        <w:t>13 – 17 April 2026</w:t>
      </w:r>
      <w:r>
        <w:rPr>
          <w:rFonts w:ascii="Arial" w:hAnsi="Arial" w:cs="Arial"/>
          <w:lang w:eastAsia="zh-CN"/>
        </w:rPr>
        <w:tab/>
      </w:r>
      <w:r>
        <w:rPr>
          <w:rFonts w:ascii="Arial" w:hAnsi="Arial" w:cs="Arial"/>
          <w:lang w:eastAsia="zh-CN"/>
        </w:rPr>
        <w:tab/>
        <w:t>Malta</w:t>
      </w:r>
    </w:p>
    <w:p>
      <w:pPr>
        <w:tabs>
          <w:tab w:val="left" w:pos="3544"/>
          <w:tab w:val="left" w:pos="7230"/>
        </w:tabs>
        <w:ind w:left="2268" w:hanging="2268"/>
        <w:textAlignment w:val="auto"/>
        <w:rPr>
          <w:rFonts w:eastAsia="宋体"/>
          <w:lang w:eastAsia="zh-CN"/>
        </w:rPr>
      </w:pPr>
      <w:r>
        <w:rPr>
          <w:rFonts w:ascii="Arial" w:hAnsi="Arial" w:cs="Arial"/>
          <w:lang w:eastAsia="zh-CN"/>
        </w:rPr>
        <w:t>SA2#175</w:t>
      </w:r>
      <w:r>
        <w:rPr>
          <w:rFonts w:ascii="Arial" w:hAnsi="Arial" w:cs="Arial"/>
          <w:lang w:eastAsia="zh-CN"/>
        </w:rPr>
        <w:tab/>
        <w:t>18 – 22 May 2026</w:t>
      </w:r>
      <w:r>
        <w:rPr>
          <w:rFonts w:ascii="Arial" w:hAnsi="Arial" w:cs="Arial"/>
          <w:lang w:eastAsia="zh-CN"/>
        </w:rPr>
        <w:tab/>
      </w:r>
      <w:r>
        <w:rPr>
          <w:rFonts w:ascii="Arial" w:hAnsi="Arial" w:cs="Arial"/>
          <w:lang w:eastAsia="zh-CN"/>
        </w:rPr>
        <w:tab/>
        <w:t>China</w:t>
      </w:r>
    </w:p>
    <w:p>
      <w:pPr>
        <w:tabs>
          <w:tab w:val="left" w:pos="3544"/>
          <w:tab w:val="left" w:pos="7230"/>
        </w:tabs>
        <w:ind w:left="2268" w:hanging="2268"/>
        <w:textAlignment w:val="auto"/>
        <w:rPr>
          <w:rFonts w:eastAsia="宋体"/>
          <w:lang w:eastAsia="zh-CN"/>
        </w:rPr>
      </w:pPr>
    </w:p>
    <w:sectPr>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altName w:val="Cambria"/>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rPr>
        <w:rFonts w:hint="default"/>
      </w:r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10251F83"/>
    <w:multiLevelType w:val="hybridMultilevel"/>
    <w:tmpl w:val="0D2488BE"/>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53263"/>
    <w:multiLevelType w:val="hybridMultilevel"/>
    <w:tmpl w:val="69346888"/>
    <w:lvl w:ilvl="0" w:tplc="9990B5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8AE4FEF"/>
    <w:multiLevelType w:val="hybridMultilevel"/>
    <w:tmpl w:val="7DF463B4"/>
    <w:lvl w:ilvl="0" w:tplc="53B6C9A2">
      <w:start w:val="1"/>
      <w:numFmt w:val="decimal"/>
      <w:lvlText w:val="%1."/>
      <w:lvlJc w:val="left"/>
      <w:pPr>
        <w:ind w:left="1020" w:hanging="360"/>
      </w:pPr>
    </w:lvl>
    <w:lvl w:ilvl="1" w:tplc="C04CDF4C">
      <w:start w:val="1"/>
      <w:numFmt w:val="decimal"/>
      <w:lvlText w:val="%2."/>
      <w:lvlJc w:val="left"/>
      <w:pPr>
        <w:ind w:left="1020" w:hanging="360"/>
      </w:pPr>
    </w:lvl>
    <w:lvl w:ilvl="2" w:tplc="EC806F28">
      <w:start w:val="1"/>
      <w:numFmt w:val="decimal"/>
      <w:lvlText w:val="%3."/>
      <w:lvlJc w:val="left"/>
      <w:pPr>
        <w:ind w:left="1020" w:hanging="360"/>
      </w:pPr>
    </w:lvl>
    <w:lvl w:ilvl="3" w:tplc="CB38DC9C">
      <w:start w:val="1"/>
      <w:numFmt w:val="decimal"/>
      <w:lvlText w:val="%4."/>
      <w:lvlJc w:val="left"/>
      <w:pPr>
        <w:ind w:left="1020" w:hanging="360"/>
      </w:pPr>
    </w:lvl>
    <w:lvl w:ilvl="4" w:tplc="D55E2B68">
      <w:start w:val="1"/>
      <w:numFmt w:val="decimal"/>
      <w:lvlText w:val="%5."/>
      <w:lvlJc w:val="left"/>
      <w:pPr>
        <w:ind w:left="1020" w:hanging="360"/>
      </w:pPr>
    </w:lvl>
    <w:lvl w:ilvl="5" w:tplc="821A9FD0">
      <w:start w:val="1"/>
      <w:numFmt w:val="decimal"/>
      <w:lvlText w:val="%6."/>
      <w:lvlJc w:val="left"/>
      <w:pPr>
        <w:ind w:left="1020" w:hanging="360"/>
      </w:pPr>
    </w:lvl>
    <w:lvl w:ilvl="6" w:tplc="7D9430B0">
      <w:start w:val="1"/>
      <w:numFmt w:val="decimal"/>
      <w:lvlText w:val="%7."/>
      <w:lvlJc w:val="left"/>
      <w:pPr>
        <w:ind w:left="1020" w:hanging="360"/>
      </w:pPr>
    </w:lvl>
    <w:lvl w:ilvl="7" w:tplc="27C4EB68">
      <w:start w:val="1"/>
      <w:numFmt w:val="decimal"/>
      <w:lvlText w:val="%8."/>
      <w:lvlJc w:val="left"/>
      <w:pPr>
        <w:ind w:left="1020" w:hanging="360"/>
      </w:pPr>
    </w:lvl>
    <w:lvl w:ilvl="8" w:tplc="BC5CC070">
      <w:start w:val="1"/>
      <w:numFmt w:val="decimal"/>
      <w:lvlText w:val="%9."/>
      <w:lvlJc w:val="left"/>
      <w:pPr>
        <w:ind w:left="1020" w:hanging="360"/>
      </w:pPr>
    </w:lvl>
  </w:abstractNum>
  <w:abstractNum w:abstractNumId="5" w15:restartNumberingAfterBreak="0">
    <w:nsid w:val="32B47202"/>
    <w:multiLevelType w:val="hybridMultilevel"/>
    <w:tmpl w:val="A1F00332"/>
    <w:lvl w:ilvl="0" w:tplc="CA8C03F0">
      <w:start w:val="1"/>
      <w:numFmt w:val="bullet"/>
      <w:lvlText w:val=""/>
      <w:lvlJc w:val="left"/>
      <w:pPr>
        <w:ind w:left="720" w:hanging="360"/>
      </w:pPr>
      <w:rPr>
        <w:rFonts w:ascii="Symbol" w:hAnsi="Symbol"/>
      </w:rPr>
    </w:lvl>
    <w:lvl w:ilvl="1" w:tplc="FC5C0C8A">
      <w:start w:val="1"/>
      <w:numFmt w:val="bullet"/>
      <w:lvlText w:val=""/>
      <w:lvlJc w:val="left"/>
      <w:pPr>
        <w:ind w:left="1560" w:hanging="360"/>
      </w:pPr>
      <w:rPr>
        <w:rFonts w:ascii="Symbol" w:hAnsi="Symbol"/>
      </w:rPr>
    </w:lvl>
    <w:lvl w:ilvl="2" w:tplc="33A8FAE2">
      <w:start w:val="1"/>
      <w:numFmt w:val="bullet"/>
      <w:lvlText w:val=""/>
      <w:lvlJc w:val="left"/>
      <w:pPr>
        <w:ind w:left="720" w:hanging="360"/>
      </w:pPr>
      <w:rPr>
        <w:rFonts w:ascii="Symbol" w:hAnsi="Symbol"/>
      </w:rPr>
    </w:lvl>
    <w:lvl w:ilvl="3" w:tplc="5388E470">
      <w:start w:val="1"/>
      <w:numFmt w:val="bullet"/>
      <w:lvlText w:val=""/>
      <w:lvlJc w:val="left"/>
      <w:pPr>
        <w:ind w:left="720" w:hanging="360"/>
      </w:pPr>
      <w:rPr>
        <w:rFonts w:ascii="Symbol" w:hAnsi="Symbol"/>
      </w:rPr>
    </w:lvl>
    <w:lvl w:ilvl="4" w:tplc="2D6CDA76">
      <w:start w:val="1"/>
      <w:numFmt w:val="bullet"/>
      <w:lvlText w:val=""/>
      <w:lvlJc w:val="left"/>
      <w:pPr>
        <w:ind w:left="720" w:hanging="360"/>
      </w:pPr>
      <w:rPr>
        <w:rFonts w:ascii="Symbol" w:hAnsi="Symbol"/>
      </w:rPr>
    </w:lvl>
    <w:lvl w:ilvl="5" w:tplc="A3AA2932">
      <w:start w:val="1"/>
      <w:numFmt w:val="bullet"/>
      <w:lvlText w:val=""/>
      <w:lvlJc w:val="left"/>
      <w:pPr>
        <w:ind w:left="720" w:hanging="360"/>
      </w:pPr>
      <w:rPr>
        <w:rFonts w:ascii="Symbol" w:hAnsi="Symbol"/>
      </w:rPr>
    </w:lvl>
    <w:lvl w:ilvl="6" w:tplc="B002CCF6">
      <w:start w:val="1"/>
      <w:numFmt w:val="bullet"/>
      <w:lvlText w:val=""/>
      <w:lvlJc w:val="left"/>
      <w:pPr>
        <w:ind w:left="720" w:hanging="360"/>
      </w:pPr>
      <w:rPr>
        <w:rFonts w:ascii="Symbol" w:hAnsi="Symbol"/>
      </w:rPr>
    </w:lvl>
    <w:lvl w:ilvl="7" w:tplc="961AD2C6">
      <w:start w:val="1"/>
      <w:numFmt w:val="bullet"/>
      <w:lvlText w:val=""/>
      <w:lvlJc w:val="left"/>
      <w:pPr>
        <w:ind w:left="720" w:hanging="360"/>
      </w:pPr>
      <w:rPr>
        <w:rFonts w:ascii="Symbol" w:hAnsi="Symbol"/>
      </w:rPr>
    </w:lvl>
    <w:lvl w:ilvl="8" w:tplc="B61C0054">
      <w:start w:val="1"/>
      <w:numFmt w:val="bullet"/>
      <w:lvlText w:val=""/>
      <w:lvlJc w:val="left"/>
      <w:pPr>
        <w:ind w:left="720" w:hanging="360"/>
      </w:pPr>
      <w:rPr>
        <w:rFonts w:ascii="Symbol" w:hAnsi="Symbol"/>
      </w:rPr>
    </w:lvl>
  </w:abstractNum>
  <w:abstractNum w:abstractNumId="6" w15:restartNumberingAfterBreak="0">
    <w:nsid w:val="3B270898"/>
    <w:multiLevelType w:val="hybridMultilevel"/>
    <w:tmpl w:val="B928ABB0"/>
    <w:lvl w:ilvl="0" w:tplc="15D840AC">
      <w:start w:val="1"/>
      <w:numFmt w:val="decimal"/>
      <w:lvlText w:val="%1."/>
      <w:lvlJc w:val="left"/>
      <w:pPr>
        <w:ind w:left="1020" w:hanging="360"/>
      </w:pPr>
    </w:lvl>
    <w:lvl w:ilvl="1" w:tplc="971EC4B2">
      <w:start w:val="1"/>
      <w:numFmt w:val="decimal"/>
      <w:lvlText w:val="%2."/>
      <w:lvlJc w:val="left"/>
      <w:pPr>
        <w:ind w:left="1020" w:hanging="360"/>
      </w:pPr>
    </w:lvl>
    <w:lvl w:ilvl="2" w:tplc="6114A09A">
      <w:start w:val="1"/>
      <w:numFmt w:val="decimal"/>
      <w:lvlText w:val="%3."/>
      <w:lvlJc w:val="left"/>
      <w:pPr>
        <w:ind w:left="1020" w:hanging="360"/>
      </w:pPr>
    </w:lvl>
    <w:lvl w:ilvl="3" w:tplc="B914E888">
      <w:start w:val="1"/>
      <w:numFmt w:val="decimal"/>
      <w:lvlText w:val="%4."/>
      <w:lvlJc w:val="left"/>
      <w:pPr>
        <w:ind w:left="1020" w:hanging="360"/>
      </w:pPr>
    </w:lvl>
    <w:lvl w:ilvl="4" w:tplc="5120B842">
      <w:start w:val="1"/>
      <w:numFmt w:val="decimal"/>
      <w:lvlText w:val="%5."/>
      <w:lvlJc w:val="left"/>
      <w:pPr>
        <w:ind w:left="1020" w:hanging="360"/>
      </w:pPr>
    </w:lvl>
    <w:lvl w:ilvl="5" w:tplc="601EC0B0">
      <w:start w:val="1"/>
      <w:numFmt w:val="decimal"/>
      <w:lvlText w:val="%6."/>
      <w:lvlJc w:val="left"/>
      <w:pPr>
        <w:ind w:left="1020" w:hanging="360"/>
      </w:pPr>
    </w:lvl>
    <w:lvl w:ilvl="6" w:tplc="AB44E04E">
      <w:start w:val="1"/>
      <w:numFmt w:val="decimal"/>
      <w:lvlText w:val="%7."/>
      <w:lvlJc w:val="left"/>
      <w:pPr>
        <w:ind w:left="1020" w:hanging="360"/>
      </w:pPr>
    </w:lvl>
    <w:lvl w:ilvl="7" w:tplc="BECE65C2">
      <w:start w:val="1"/>
      <w:numFmt w:val="decimal"/>
      <w:lvlText w:val="%8."/>
      <w:lvlJc w:val="left"/>
      <w:pPr>
        <w:ind w:left="1020" w:hanging="360"/>
      </w:pPr>
    </w:lvl>
    <w:lvl w:ilvl="8" w:tplc="51721AA4">
      <w:start w:val="1"/>
      <w:numFmt w:val="decimal"/>
      <w:lvlText w:val="%9."/>
      <w:lvlJc w:val="left"/>
      <w:pPr>
        <w:ind w:left="1020" w:hanging="360"/>
      </w:pPr>
    </w:lvl>
  </w:abstractNum>
  <w:abstractNum w:abstractNumId="7" w15:restartNumberingAfterBreak="0">
    <w:nsid w:val="3CF36543"/>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3D2F0713"/>
    <w:multiLevelType w:val="hybridMultilevel"/>
    <w:tmpl w:val="E17CFB50"/>
    <w:lvl w:ilvl="0" w:tplc="CE447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2E5F8E"/>
    <w:multiLevelType w:val="hybridMultilevel"/>
    <w:tmpl w:val="07BAD030"/>
    <w:lvl w:ilvl="0" w:tplc="9990B572">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55387F"/>
    <w:multiLevelType w:val="hybridMultilevel"/>
    <w:tmpl w:val="26A042E4"/>
    <w:lvl w:ilvl="0" w:tplc="2AA0AEA4">
      <w:start w:val="1"/>
      <w:numFmt w:val="bullet"/>
      <w:lvlText w:val=""/>
      <w:lvlJc w:val="left"/>
      <w:pPr>
        <w:ind w:left="1080" w:hanging="360"/>
      </w:pPr>
      <w:rPr>
        <w:rFonts w:ascii="Symbol" w:hAnsi="Symbol"/>
      </w:rPr>
    </w:lvl>
    <w:lvl w:ilvl="1" w:tplc="B3569196">
      <w:start w:val="1"/>
      <w:numFmt w:val="bullet"/>
      <w:lvlText w:val=""/>
      <w:lvlJc w:val="left"/>
      <w:pPr>
        <w:ind w:left="1560" w:hanging="360"/>
      </w:pPr>
      <w:rPr>
        <w:rFonts w:ascii="Symbol" w:hAnsi="Symbol"/>
      </w:rPr>
    </w:lvl>
    <w:lvl w:ilvl="2" w:tplc="806AC3DA">
      <w:start w:val="1"/>
      <w:numFmt w:val="bullet"/>
      <w:lvlText w:val=""/>
      <w:lvlJc w:val="left"/>
      <w:pPr>
        <w:ind w:left="1080" w:hanging="360"/>
      </w:pPr>
      <w:rPr>
        <w:rFonts w:ascii="Symbol" w:hAnsi="Symbol"/>
      </w:rPr>
    </w:lvl>
    <w:lvl w:ilvl="3" w:tplc="2D6CEBE6">
      <w:start w:val="1"/>
      <w:numFmt w:val="bullet"/>
      <w:lvlText w:val=""/>
      <w:lvlJc w:val="left"/>
      <w:pPr>
        <w:ind w:left="1080" w:hanging="360"/>
      </w:pPr>
      <w:rPr>
        <w:rFonts w:ascii="Symbol" w:hAnsi="Symbol"/>
      </w:rPr>
    </w:lvl>
    <w:lvl w:ilvl="4" w:tplc="605C03FA">
      <w:start w:val="1"/>
      <w:numFmt w:val="bullet"/>
      <w:lvlText w:val=""/>
      <w:lvlJc w:val="left"/>
      <w:pPr>
        <w:ind w:left="1080" w:hanging="360"/>
      </w:pPr>
      <w:rPr>
        <w:rFonts w:ascii="Symbol" w:hAnsi="Symbol"/>
      </w:rPr>
    </w:lvl>
    <w:lvl w:ilvl="5" w:tplc="0570DAE6">
      <w:start w:val="1"/>
      <w:numFmt w:val="bullet"/>
      <w:lvlText w:val=""/>
      <w:lvlJc w:val="left"/>
      <w:pPr>
        <w:ind w:left="1080" w:hanging="360"/>
      </w:pPr>
      <w:rPr>
        <w:rFonts w:ascii="Symbol" w:hAnsi="Symbol"/>
      </w:rPr>
    </w:lvl>
    <w:lvl w:ilvl="6" w:tplc="42B691C2">
      <w:start w:val="1"/>
      <w:numFmt w:val="bullet"/>
      <w:lvlText w:val=""/>
      <w:lvlJc w:val="left"/>
      <w:pPr>
        <w:ind w:left="1080" w:hanging="360"/>
      </w:pPr>
      <w:rPr>
        <w:rFonts w:ascii="Symbol" w:hAnsi="Symbol"/>
      </w:rPr>
    </w:lvl>
    <w:lvl w:ilvl="7" w:tplc="62746E16">
      <w:start w:val="1"/>
      <w:numFmt w:val="bullet"/>
      <w:lvlText w:val=""/>
      <w:lvlJc w:val="left"/>
      <w:pPr>
        <w:ind w:left="1080" w:hanging="360"/>
      </w:pPr>
      <w:rPr>
        <w:rFonts w:ascii="Symbol" w:hAnsi="Symbol"/>
      </w:rPr>
    </w:lvl>
    <w:lvl w:ilvl="8" w:tplc="D1EA7E60">
      <w:start w:val="1"/>
      <w:numFmt w:val="bullet"/>
      <w:lvlText w:val=""/>
      <w:lvlJc w:val="left"/>
      <w:pPr>
        <w:ind w:left="1080" w:hanging="360"/>
      </w:pPr>
      <w:rPr>
        <w:rFonts w:ascii="Symbol" w:hAnsi="Symbol"/>
      </w:rPr>
    </w:lvl>
  </w:abstractNum>
  <w:abstractNum w:abstractNumId="14" w15:restartNumberingAfterBreak="0">
    <w:nsid w:val="5DC3430B"/>
    <w:multiLevelType w:val="hybridMultilevel"/>
    <w:tmpl w:val="A43E671A"/>
    <w:lvl w:ilvl="0" w:tplc="197034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BE7FBE"/>
    <w:multiLevelType w:val="hybridMultilevel"/>
    <w:tmpl w:val="DB1C84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74872217"/>
    <w:multiLevelType w:val="hybridMultilevel"/>
    <w:tmpl w:val="58227C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1"/>
  </w:num>
  <w:num w:numId="3">
    <w:abstractNumId w:val="0"/>
  </w:num>
  <w:num w:numId="4">
    <w:abstractNumId w:val="17"/>
  </w:num>
  <w:num w:numId="5">
    <w:abstractNumId w:val="4"/>
  </w:num>
  <w:num w:numId="6">
    <w:abstractNumId w:val="6"/>
  </w:num>
  <w:num w:numId="7">
    <w:abstractNumId w:val="11"/>
  </w:num>
  <w:num w:numId="8">
    <w:abstractNumId w:val="15"/>
  </w:num>
  <w:num w:numId="9">
    <w:abstractNumId w:val="7"/>
  </w:num>
  <w:num w:numId="10">
    <w:abstractNumId w:val="10"/>
  </w:num>
  <w:num w:numId="11">
    <w:abstractNumId w:val="2"/>
  </w:num>
  <w:num w:numId="12">
    <w:abstractNumId w:val="13"/>
  </w:num>
  <w:num w:numId="13">
    <w:abstractNumId w:val="5"/>
  </w:num>
  <w:num w:numId="14">
    <w:abstractNumId w:val="16"/>
  </w:num>
  <w:num w:numId="15">
    <w:abstractNumId w:val="16"/>
  </w:num>
  <w:num w:numId="16">
    <w:abstractNumId w:val="12"/>
  </w:num>
  <w:num w:numId="17">
    <w:abstractNumId w:val="14"/>
  </w:num>
  <w:num w:numId="18">
    <w:abstractNumId w:val="8"/>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UwZjFkNTY5ZmRmMDM4NzQ0ODkxYjc4OGZlOThjZTEifQ=="/>
  </w:docVar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EB7BD1-1816-4E7D-9993-F16D39DC7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qFormat/>
  </w:style>
  <w:style w:type="paragraph" w:styleId="33">
    <w:name w:val="Body Text 3"/>
    <w:basedOn w:val="a"/>
    <w:link w:val="34"/>
    <w:qFormat/>
    <w:pPr>
      <w:spacing w:after="120"/>
    </w:pPr>
    <w:rPr>
      <w:sz w:val="16"/>
      <w:szCs w:val="16"/>
    </w:rPr>
  </w:style>
  <w:style w:type="paragraph" w:styleId="ab">
    <w:name w:val="Body Text"/>
    <w:basedOn w:val="a"/>
    <w:link w:val="ac"/>
    <w:qFormat/>
    <w:pPr>
      <w:spacing w:after="120"/>
    </w:pPr>
  </w:style>
  <w:style w:type="paragraph" w:styleId="ad">
    <w:name w:val="Plain Text"/>
    <w:basedOn w:val="a"/>
    <w:link w:val="ae"/>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
    <w:name w:val="Balloon Text"/>
    <w:basedOn w:val="a"/>
    <w:link w:val="af0"/>
    <w:unhideWhenUsed/>
    <w:qFormat/>
    <w:pPr>
      <w:spacing w:after="0"/>
    </w:pPr>
    <w:rPr>
      <w:rFonts w:ascii="Segoe UI" w:hAnsi="Segoe UI" w:cs="Segoe UI"/>
      <w:sz w:val="18"/>
      <w:szCs w:val="18"/>
    </w:rPr>
  </w:style>
  <w:style w:type="paragraph" w:styleId="af1">
    <w:name w:val="footer"/>
    <w:basedOn w:val="af2"/>
    <w:link w:val="af3"/>
    <w:uiPriority w:val="99"/>
    <w:qFormat/>
    <w:pPr>
      <w:jc w:val="center"/>
    </w:pPr>
    <w:rPr>
      <w:i/>
    </w:rPr>
  </w:style>
  <w:style w:type="paragraph" w:styleId="af2">
    <w:name w:val="header"/>
    <w:aliases w:val="header odd,header,header odd1,header odd2,header odd3,header odd4,header odd5,header odd6"/>
    <w:link w:val="af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5">
    <w:name w:val="footnote text"/>
    <w:basedOn w:val="a"/>
    <w:link w:val="af6"/>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spacing w:line="259" w:lineRule="auto"/>
      <w:ind w:left="1701" w:hanging="1701"/>
    </w:pPr>
    <w:rPr>
      <w:rFonts w:ascii="Arial" w:eastAsia="宋体" w:hAnsi="Arial"/>
      <w:b/>
      <w:lang w:eastAsia="zh-CN"/>
    </w:rPr>
  </w:style>
  <w:style w:type="paragraph" w:styleId="TOC9">
    <w:name w:val="toc 9"/>
    <w:basedOn w:val="TOC8"/>
    <w:qFormat/>
    <w:pPr>
      <w:ind w:left="1418" w:hanging="1418"/>
    </w:pPr>
  </w:style>
  <w:style w:type="paragraph" w:styleId="af8">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qFormat/>
    <w:pPr>
      <w:keepLines/>
      <w:spacing w:after="0"/>
    </w:pPr>
  </w:style>
  <w:style w:type="paragraph" w:styleId="25">
    <w:name w:val="index 2"/>
    <w:basedOn w:val="11"/>
    <w:qFormat/>
    <w:pPr>
      <w:ind w:left="284"/>
    </w:pPr>
  </w:style>
  <w:style w:type="paragraph" w:styleId="af9">
    <w:name w:val="annotation subject"/>
    <w:basedOn w:val="a9"/>
    <w:next w:val="a9"/>
    <w:link w:val="afa"/>
    <w:uiPriority w:val="99"/>
    <w:qFormat/>
    <w:rPr>
      <w:b/>
      <w:bCs/>
    </w:rPr>
  </w:style>
  <w:style w:type="table" w:styleId="afb">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uiPriority w:val="99"/>
    <w:qFormat/>
    <w:rPr>
      <w:color w:val="0000FF"/>
      <w:u w:val="single"/>
    </w:rPr>
  </w:style>
  <w:style w:type="character" w:styleId="aff0">
    <w:name w:val="annotation reference"/>
    <w:basedOn w:val="a0"/>
    <w:qFormat/>
    <w:rPr>
      <w:sz w:val="16"/>
      <w:szCs w:val="16"/>
    </w:rPr>
  </w:style>
  <w:style w:type="character" w:styleId="aff1">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character" w:customStyle="1" w:styleId="af4">
    <w:name w:val="页眉 字符"/>
    <w:aliases w:val="header odd 字符,header 字符,header odd1 字符,header odd2 字符,header odd3 字符,header odd4 字符,header odd5 字符,header odd6 字符"/>
    <w:link w:val="af2"/>
    <w:qFormat/>
    <w:rPr>
      <w:rFonts w:ascii="Arial" w:eastAsia="Times New Roman" w:hAnsi="Arial"/>
      <w:b/>
      <w:sz w:val="18"/>
      <w:lang w:val="en-GB" w:eastAsia="ja-JP"/>
    </w:rPr>
  </w:style>
  <w:style w:type="character" w:customStyle="1" w:styleId="af6">
    <w:name w:val="脚注文本 字符"/>
    <w:link w:val="af5"/>
    <w:qFormat/>
    <w:rPr>
      <w:rFonts w:ascii="Times New Roman" w:eastAsia="Times New Roman" w:hAnsi="Times New Roman"/>
      <w:sz w:val="16"/>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24">
    <w:name w:val="列表项目符号 2 字符"/>
    <w:link w:val="23"/>
    <w:qFormat/>
    <w:rPr>
      <w:rFonts w:ascii="Times New Roman" w:eastAsia="Times New Roman" w:hAnsi="Times New Roman"/>
      <w:lang w:val="en-GB" w:eastAsia="ja-JP"/>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21"/>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lang w:val="en-GB" w:eastAsia="ja-JP"/>
    </w:rPr>
  </w:style>
  <w:style w:type="character" w:customStyle="1" w:styleId="af3">
    <w:name w:val="页脚 字符"/>
    <w:link w:val="af1"/>
    <w:uiPriority w:val="99"/>
    <w:qFormat/>
    <w:rPr>
      <w:rFonts w:ascii="Arial" w:eastAsia="Times New Roman" w:hAnsi="Arial"/>
      <w:b/>
      <w:i/>
      <w:sz w:val="18"/>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tdoc-header">
    <w:name w:val="tdoc-header"/>
    <w:qFormat/>
    <w:rPr>
      <w:rFonts w:ascii="Arial" w:hAnsi="Arial"/>
      <w:sz w:val="24"/>
      <w:lang w:val="en-GB" w:eastAsia="en-US"/>
    </w:rPr>
  </w:style>
  <w:style w:type="character" w:customStyle="1" w:styleId="aa">
    <w:name w:val="批注文字 字符"/>
    <w:basedOn w:val="a0"/>
    <w:link w:val="a9"/>
    <w:qFormat/>
    <w:rPr>
      <w:rFonts w:ascii="Times New Roman" w:eastAsia="Times New Roman" w:hAnsi="Times New Roman"/>
      <w:lang w:val="en-GB" w:eastAsia="ja-JP"/>
    </w:rPr>
  </w:style>
  <w:style w:type="character" w:customStyle="1" w:styleId="af0">
    <w:name w:val="批注框文本 字符"/>
    <w:basedOn w:val="a0"/>
    <w:link w:val="af"/>
    <w:qFormat/>
    <w:rPr>
      <w:rFonts w:ascii="Segoe UI" w:eastAsia="Times New Roman" w:hAnsi="Segoe UI" w:cs="Segoe UI"/>
      <w:sz w:val="18"/>
      <w:szCs w:val="18"/>
      <w:lang w:val="en-GB" w:eastAsia="ja-JP"/>
    </w:rPr>
  </w:style>
  <w:style w:type="character" w:customStyle="1" w:styleId="afa">
    <w:name w:val="批注主题 字符"/>
    <w:basedOn w:val="aa"/>
    <w:link w:val="af9"/>
    <w:uiPriority w:val="99"/>
    <w:qFormat/>
    <w:rPr>
      <w:rFonts w:ascii="Times New Roman" w:eastAsia="Times New Roman" w:hAnsi="Times New Roman"/>
      <w:b/>
      <w:bCs/>
      <w:lang w:val="en-GB" w:eastAsia="ja-JP"/>
    </w:rPr>
  </w:style>
  <w:style w:type="character" w:customStyle="1" w:styleId="a8">
    <w:name w:val="文档结构图 字符"/>
    <w:basedOn w:val="a0"/>
    <w:link w:val="a7"/>
    <w:uiPriority w:val="99"/>
    <w:qFormat/>
    <w:rPr>
      <w:rFonts w:ascii="Tahoma" w:eastAsia="Times New Roman" w:hAnsi="Tahoma" w:cs="Tahoma"/>
      <w:shd w:val="clear" w:color="auto" w:fill="000080"/>
      <w:lang w:val="en-GB" w:eastAsia="ja-JP"/>
    </w:rPr>
  </w:style>
  <w:style w:type="character" w:customStyle="1" w:styleId="ac">
    <w:name w:val="正文文本 字符"/>
    <w:basedOn w:val="a0"/>
    <w:link w:val="ab"/>
    <w:qFormat/>
    <w:rPr>
      <w:rFonts w:ascii="Times New Roman" w:eastAsia="Times New Roman" w:hAnsi="Times New Roman"/>
      <w:lang w:val="en-GB" w:eastAsia="ja-JP"/>
    </w:rPr>
  </w:style>
  <w:style w:type="paragraph" w:customStyle="1" w:styleId="3GPPNormalText">
    <w:name w:val="3GPP Normal Text"/>
    <w:basedOn w:val="ab"/>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1Char">
    <w:name w:val="B1 Char"/>
    <w:qFormat/>
    <w:rPr>
      <w:rFonts w:ascii="Times New Roman" w:hAnsi="Times New Roman"/>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normaltextrun">
    <w:name w:val="normaltextrun"/>
    <w:basedOn w:val="a0"/>
    <w:qFormat/>
  </w:style>
  <w:style w:type="character" w:customStyle="1" w:styleId="TALChar">
    <w:name w:val="TAL Char"/>
    <w:qFormat/>
    <w:locked/>
    <w:rPr>
      <w:rFonts w:ascii="Arial" w:hAnsi="Arial"/>
      <w:sz w:val="18"/>
      <w:lang w:val="en-GB" w:eastAsia="en-US"/>
    </w:rPr>
  </w:style>
  <w:style w:type="character" w:customStyle="1" w:styleId="ui-provider">
    <w:name w:val="ui-provider"/>
    <w:basedOn w:val="a0"/>
    <w:qFormat/>
  </w:style>
  <w:style w:type="character" w:customStyle="1" w:styleId="ae">
    <w:name w:val="纯文本 字符"/>
    <w:basedOn w:val="a0"/>
    <w:link w:val="ad"/>
    <w:qFormat/>
    <w:rPr>
      <w:rFonts w:ascii="Courier New" w:eastAsiaTheme="minorHAnsi" w:hAnsi="Courier New" w:cstheme="minorBidi"/>
      <w:sz w:val="22"/>
      <w:szCs w:val="22"/>
      <w:lang w:val="nb-NO" w:eastAsia="en-US"/>
    </w:rPr>
  </w:style>
  <w:style w:type="paragraph" w:styleId="aff2">
    <w:name w:val="List Paragraph"/>
    <w:basedOn w:val="a"/>
    <w:link w:val="aff3"/>
    <w:uiPriority w:val="34"/>
    <w:qFormat/>
    <w:pPr>
      <w:ind w:left="720"/>
      <w:contextualSpacing/>
    </w:pPr>
  </w:style>
  <w:style w:type="character" w:customStyle="1" w:styleId="aff3">
    <w:name w:val="列表段落 字符"/>
    <w:link w:val="aff2"/>
    <w:uiPriority w:val="34"/>
    <w:qFormat/>
    <w:rPr>
      <w:rFonts w:ascii="Times New Roman" w:eastAsia="Times New Roman" w:hAnsi="Times New Roman"/>
      <w:lang w:val="en-GB" w:eastAsia="ja-JP"/>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paragraph" w:customStyle="1" w:styleId="Revision1">
    <w:name w:val="Revision1"/>
    <w:hidden/>
    <w:uiPriority w:val="99"/>
    <w:semiHidden/>
    <w:qFormat/>
    <w:rPr>
      <w:rFonts w:eastAsia="Batang"/>
      <w:lang w:val="en-GB" w:eastAsia="en-US"/>
    </w:rPr>
  </w:style>
  <w:style w:type="paragraph" w:customStyle="1" w:styleId="Revision11">
    <w:name w:val="Revision11"/>
    <w:hidden/>
    <w:uiPriority w:val="99"/>
    <w:semiHidden/>
    <w:qFormat/>
    <w:pPr>
      <w:spacing w:after="160" w:line="259" w:lineRule="auto"/>
    </w:pPr>
    <w:rPr>
      <w:rFonts w:eastAsia="MS Mincho"/>
      <w:lang w:val="en-GB" w:eastAsia="en-US"/>
    </w:rPr>
  </w:style>
  <w:style w:type="table" w:customStyle="1" w:styleId="12">
    <w:name w:val="网格型1"/>
    <w:basedOn w:val="a1"/>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widowControl w:val="0"/>
      <w:numPr>
        <w:numId w:val="1"/>
      </w:numPr>
      <w:tabs>
        <w:tab w:val="left" w:pos="643"/>
      </w:tabs>
      <w:overflowPunct/>
      <w:autoSpaceDE/>
      <w:autoSpaceDN/>
      <w:adjustRightInd/>
      <w:spacing w:before="60" w:after="0"/>
      <w:jc w:val="both"/>
      <w:textAlignment w:val="auto"/>
    </w:pPr>
    <w:rPr>
      <w:rFonts w:ascii="Arial" w:eastAsia="MS Mincho" w:hAnsi="Arial"/>
      <w:b/>
      <w:kern w:val="2"/>
      <w:sz w:val="21"/>
      <w:szCs w:val="22"/>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eastAsia="en-GB"/>
    </w:rPr>
  </w:style>
  <w:style w:type="character" w:customStyle="1" w:styleId="TAHChar">
    <w:name w:val="TAH Char"/>
    <w:qFormat/>
    <w:rPr>
      <w:rFonts w:ascii="Arial" w:hAnsi="Arial"/>
      <w:b/>
      <w:sz w:val="18"/>
    </w:rPr>
  </w:style>
  <w:style w:type="character" w:customStyle="1" w:styleId="Doc-text2Char">
    <w:name w:val="Doc-text2 Char"/>
    <w:link w:val="Doc-text2"/>
    <w:qFormat/>
    <w:rPr>
      <w:rFonts w:ascii="Arial" w:hAnsi="Arial"/>
      <w:szCs w:val="24"/>
      <w:lang w:eastAsia="en-GB"/>
    </w:rPr>
  </w:style>
  <w:style w:type="paragraph" w:customStyle="1" w:styleId="EmailDiscussion2">
    <w:name w:val="EmailDiscussion2"/>
    <w:basedOn w:val="Doc-text2"/>
    <w:uiPriority w:val="99"/>
    <w:qFormat/>
    <w:rPr>
      <w:rFonts w:eastAsia="MS Mincho"/>
      <w:lang w:val="en-GB"/>
    </w:rPr>
  </w:style>
  <w:style w:type="character" w:customStyle="1" w:styleId="15">
    <w:name w:val="15"/>
    <w:basedOn w:val="a0"/>
    <w:qFormat/>
    <w:rPr>
      <w:rFonts w:ascii="Calibri" w:hAnsi="Calibri" w:cs="Calibri" w:hint="default"/>
      <w:color w:val="0000FF"/>
      <w:u w:val="single"/>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tal0">
    <w:name w:val="tal"/>
    <w:basedOn w:val="a"/>
    <w:qFormat/>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a"/>
    <w:qFormat/>
    <w:pPr>
      <w:overflowPunct/>
      <w:autoSpaceDE/>
      <w:autoSpaceDN/>
      <w:adjustRightInd/>
      <w:spacing w:before="180" w:after="0"/>
      <w:textAlignment w:val="auto"/>
    </w:pPr>
    <w:rPr>
      <w:rFonts w:ascii="Arial" w:eastAsia="MS Mincho" w:hAnsi="Arial"/>
      <w:i/>
      <w:sz w:val="18"/>
      <w:szCs w:val="24"/>
      <w:u w:val="single"/>
      <w:lang w:val="en-US"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6">
    <w:name w:val="网格型2"/>
    <w:basedOn w:val="a1"/>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59"/>
    <w:qFormat/>
    <w:pPr>
      <w:widowControl w:val="0"/>
      <w:autoSpaceDE w:val="0"/>
      <w:autoSpaceDN w:val="0"/>
      <w:adjustRightInd w:val="0"/>
      <w:spacing w:after="120"/>
      <w:jc w:val="both"/>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Pr>
      <w:rFonts w:eastAsia="Times New Roman"/>
      <w:lang w:val="en-GB" w:eastAsia="ja-JP"/>
    </w:rPr>
  </w:style>
  <w:style w:type="paragraph" w:styleId="aff4">
    <w:name w:val="Revision"/>
    <w:hidden/>
    <w:uiPriority w:val="99"/>
    <w:semiHidden/>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201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92230-5B03-45B7-B3C4-38BF8FFE06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66</TotalTime>
  <Pages>2</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OPPO-Fei Lu2</cp:lastModifiedBy>
  <cp:revision>14</cp:revision>
  <cp:lastPrinted>1900-12-31T16:00:00Z</cp:lastPrinted>
  <dcterms:created xsi:type="dcterms:W3CDTF">2026-01-28T03:29:00Z</dcterms:created>
  <dcterms:modified xsi:type="dcterms:W3CDTF">2026-01-28T07:01:00Z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E43D9B0FC79A4923A4FA42C9BE909041_13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1744680223</vt:lpwstr>
  </property>
  <property fmtid="{D5CDD505-2E9C-101B-9397-08002B2CF9AE}" pid="27" name="CWMadc2d3f01b2211f08000418800004188">
    <vt:lpwstr>CWM929X5uCe0DFXFFK9mM4rgfRfpS7jUiMgtKTbukxsdFr7aNLO4DhgPf2xY3CURBfQ+xQHQFp28OGIYPYNhYZtEg==</vt:lpwstr>
  </property>
  <property fmtid="{D5CDD505-2E9C-101B-9397-08002B2CF9AE}" pid="28" name="MSIP_Label_4d2f777e-4347-4fc6-823a-b44ab313546a_Enabled">
    <vt:lpwstr>true</vt:lpwstr>
  </property>
  <property fmtid="{D5CDD505-2E9C-101B-9397-08002B2CF9AE}" pid="29" name="MSIP_Label_4d2f777e-4347-4fc6-823a-b44ab313546a_SetDate">
    <vt:lpwstr>2025-05-19T05:22:02Z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dc9f21ff-d014-4cef-a6cb-cd4c0812a6c3</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